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Stopy spadają, ale darmowych kredytów nie ma. Raport MyBank.pl obnaża ukryte koszty hipotek w 2026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Stopa referencyjna NBP spadła do 3,75%, WIBOR jest najniższy od 2022 roku, a deweloperzy znów kuszą klientów. Jednak z najnowszej, dogłębnej analizy opublikowanej przez portal MyBank.pl wynika, że tańszy pieniądz na rynku międzybankowym nie oznacza taniego kredytu dla kowalskiego. Przy pożyczce na 400 000 zł, klient i tak odda bankowi ponad 350 000 zł samych odsetek.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MyBank.pl opublikował właśnie przekrojowy poradnik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Kredyt hipoteczny w 2026 roku — ile naprawdę kosztuje i jak go dostać?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Wasiński</w:t>
      </w:r>
      <w:r>
        <w:rPr>
          <w:rFonts w:ascii="calibri" w:hAnsi="calibri" w:eastAsia="calibri" w:cs="calibri"/>
          <w:sz w:val="24"/>
          <w:szCs w:val="24"/>
        </w:rPr>
        <w:t xml:space="preserve">, redaktor naczelny serwisu i analityk rynków finansowych z ponad 20-letnim doświadczeniem, rozkłada w nim bankowe umowy na czynniki pierwsze. Robi to z perspektywy „insidera”, pokazując mechanizmy, o których milczą foldery reklamowe.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MyBank.pl płyną wnioski, które mogą zaskoczyć wielu przyszłych kredytobiorców: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Miażdżąca przewaga odsetek na starcie: Przy racie równej (kredyt 400 tys. zł na 25 lat), w pierwszym miesiącu spłaty zaledwie 24% (ok. 594 zł) idzie na poczet spłaty długu. Reszta (ponad 1900 zł) to czysty zysk banku.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Nieużywany plastik to cichy zabójca: Posiadanie nieużywanej karty kredytowej z limitem 10 000 zł potrafi obniżyć zdolność kredytową nawet o 40 000 – 60 000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Mit „0% prowizji” i haczyki cross-sellingu: Banki chętnie rezygnują z prowizji na start, odbijając to sobie w marży. Kosztuje to klienta średnio o kilkanaście tysięcy złotych więcej w całym okresie kredytowania. Z kolei wciskanie polis na życie często chroni bilans banku, a nie rodzinę kredytobiorcy.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zmiana na horyzoncie: Artykuł jako jeden z nielicznych tak dokładnie analizuje nadchodzącą konwersję wskaźnika WIBOR na POLSTR, ostrzegając klientów przed potencjalnymi błędami w nowych harmonogramach spłat.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„Szok rat z lat 2022–2023 pokazał bolesną prawdę: zdolność wyliczona przez bankowy algorytm to nie to samo, co realny komfort domowego budżetu”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Wasiński</w:t>
      </w:r>
      <w:r>
        <w:rPr>
          <w:rFonts w:ascii="calibri" w:hAnsi="calibri" w:eastAsia="calibri" w:cs="calibri"/>
          <w:sz w:val="24"/>
          <w:szCs w:val="24"/>
        </w:rPr>
        <w:t xml:space="preserve">, autor raportu.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„Dziś stopy procentowe spadają, ale banki doskonale wiedzą, jak odbić to sobie w obowiązkowych ubezpieczeniach czy marży. Nasz przewodnik powstał po to, by uzbroić klienta w argumenty i twarde dane. Negocjacje z bankiem zaczynają się od wiedzy, ile ten kredyt faktycznie jest wart, a nie od tego, co mówi doradca przed podpisaniem umowy”.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zawiera również praktyczne case studies, konkretne algorytmy nadpłat skracających kredyt nawet o 7-15 lat oraz szczegółową listę kontrolną (90/60/30 dni przed złożeniem wniosku), która pozwala przygotować się do rozmów z analitykami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tekst poradnika </w:t>
      </w:r>
      <w:r>
        <w:rPr>
          <w:rFonts w:ascii="calibri" w:hAnsi="calibri" w:eastAsia="calibri" w:cs="calibri"/>
          <w:sz w:val="24"/>
          <w:szCs w:val="24"/>
          <w:b/>
        </w:rPr>
        <w:t xml:space="preserve">„Kredyt hipoteczny w 2026 roku — ile naprawdę kosztuje i jak go dostać?”</w:t>
      </w:r>
      <w:r>
        <w:rPr>
          <w:rFonts w:ascii="calibri" w:hAnsi="calibri" w:eastAsia="calibri" w:cs="calibri"/>
          <w:sz w:val="24"/>
          <w:szCs w:val="24"/>
        </w:rPr>
        <w:t xml:space="preserve"> – wzbogacony o autorskie kalkulacje i infografiki – jest dostępny bezpłatnie na stronie: 👉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https://mybank.pl/news/35682-kredyt-hipoteczny-w-2026-roku-ile-naprawde-kosztuje-i-jak-go-dostac.html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news/35682-kredyt-hipoteczny-w-2026-roku-ile-naprawde-kosztuje-i-jak-go-dost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2026-05-04T01:22:32+02:00</dcterms:created>
  <dcterms:modified xsi:type="dcterms:W3CDTF">2026-05-04T01:22:32+02:00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