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raport mybank.pl: dlaczego wydajemy więcej, gdy płacimy kartą niż gotówką?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czasach, gdy za zakupy coraz częściej płacimy „plastikiem” lub telefonem, wielu z nas ma wrażenie, że pieniądze z konta znikają szybciej niż kiedykolwiek wcześniej. Czy to tylko subiektywne odczucie, czy stoją za tym konkretne mechanizmy psychologiczne i sprytne rozwiązania banków oraz firm płatniczych? Na to pytanie odpowiada nowy, obszerny artykuł opublikowany na portalu finansowym mybank.pl: „Dlaczego wydajemy więcej, gdy płacimy kartą niż gotówką? Sztuczki banków i psychologii”.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 tekstu pokazuje, że to, czym płacimy, ma znaczenie nie mniejsze niż to, ile zarabiamy. Zebrane w jednym miejscu badania ekonomii behawioralnej, neurobiologii i psychologii pieniądza dowodzą, że płatności kartą i telefonem realnie zmieniają sposób, w jaki odczuwamy wydatek. Zamiast fizycznego oddania banknotu mamy krótkie „piknięcie” terminala, a mózg reaguje na to zdecydowanie słabiej – z punktu widzenia naszego portfela to różnica kluczowa.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artykule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mybank.pl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czytelnik znajdzie m.in. omówienie koncepcji „bólu płacenia” – zjawiska dobrze znanego naukowcom, ale wciąż mało obecnego w publicznej debacie. Eksperymenty cytowane w tekście pokazują, że </w:t>
      </w:r>
      <w:r>
        <w:rPr>
          <w:rFonts w:ascii="calibri" w:hAnsi="calibri" w:eastAsia="calibri" w:cs="calibri"/>
          <w:sz w:val="24"/>
          <w:szCs w:val="24"/>
          <w:b/>
        </w:rPr>
        <w:t xml:space="preserve">ta sama osoba jest skłonna zapłacić za identyczny produkt nawet kilkadziesiąt procent więcej, jeśli płaci kartą zamiast gotówką</w:t>
      </w:r>
      <w:r>
        <w:rPr>
          <w:rFonts w:ascii="calibri" w:hAnsi="calibri" w:eastAsia="calibri" w:cs="calibri"/>
          <w:sz w:val="24"/>
          <w:szCs w:val="24"/>
        </w:rPr>
        <w:t xml:space="preserve">. Równocześnie badania z wykorzystaniem rezonansu magnetycznego sugerują, że przy płatności gotówką w mózgu znacznie mocniej aktywują się obszary odpowiedzialne za odczuwanie bólu i strat, co naturalnie hamuje skłonność do wydawania.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wątkiem tekstu są także praktyki branży finansowej i handlu. Artykuł pokazuje, jak banki, fintechy i sieci handlowe projektują proces płatności tak, aby był możliwie bezbolesny: od płatności zbliżeniowych, przez zapisane na stałe karty w sklepach internetowych, po zakupy „one-click” i automatycznie odnawiane subskrypcje. Z punktu widzenia wygody klienta to ogromne ułatwienie – ale z punktu widzenia jego budżetu domowego może być tylnymi drzwiami do regularnego przekraczania planu wydatków.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Istotną część materiału stanowi polski kontekst. Redakcja mybank.pl przygląda się temu, jak dynamiczny rozwój płatności bezgotówkowych w naszym kraju – w tym ogromna popularność płatności zbliżeniowych i systemu BLIK – sprawia, że praktycznie każdego dnia funkcjonujemy w środowisku, które z definicji „znieczula” nas na wydatki. Artykuł pokazuje, do jakiego stopnia gotówka stała się dziś raczej wyjątkiem niż normą, i jakie niesie to konsekwencje dla kontroli domowego budżetu.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Tekst nie zatrzymuje się jednak na diagnozie problemu. Ważnym elementem artykułu są </w:t>
      </w:r>
      <w:r>
        <w:rPr>
          <w:rFonts w:ascii="calibri" w:hAnsi="calibri" w:eastAsia="calibri" w:cs="calibri"/>
          <w:sz w:val="24"/>
          <w:szCs w:val="24"/>
          <w:b/>
        </w:rPr>
        <w:t xml:space="preserve">praktyczne wskazówki, jak odzyskać kontrolę nad wydatkami, nie rezygnując przy tym z wygody nowoczesnych płatności</w:t>
      </w:r>
      <w:r>
        <w:rPr>
          <w:rFonts w:ascii="calibri" w:hAnsi="calibri" w:eastAsia="calibri" w:cs="calibri"/>
          <w:sz w:val="24"/>
          <w:szCs w:val="24"/>
        </w:rPr>
        <w:t xml:space="preserve">. Czytelnik znajdzie konkretne propozycje: od prostych trików (jak celowe „dodawanie tarcia” do płatności online czy stosowanie gotówkowych limitów na najbardziej problematyczne kategorie wydatków), aż po sposoby świadomego wykorzystania aplikacji bankowych jako narzędzia samokontroli, a nie tylko wygodnego środka płatniczego.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uwagę zasługuje także skala researchu. Artykuł na mybank.pl opiera się na </w:t>
      </w:r>
      <w:r>
        <w:rPr>
          <w:rFonts w:ascii="calibri" w:hAnsi="calibri" w:eastAsia="calibri" w:cs="calibri"/>
          <w:sz w:val="24"/>
          <w:szCs w:val="24"/>
          <w:b/>
        </w:rPr>
        <w:t xml:space="preserve">kilkudziesięciu źródłach</w:t>
      </w:r>
      <w:r>
        <w:rPr>
          <w:rFonts w:ascii="calibri" w:hAnsi="calibri" w:eastAsia="calibri" w:cs="calibri"/>
          <w:sz w:val="24"/>
          <w:szCs w:val="24"/>
        </w:rPr>
        <w:t xml:space="preserve"> – od klasycznych prac z zakresu ekonomii behawioralnej, przez najnowsze badania neuroekonomiczne, aż po świeże raporty Narodowego Banku Polskiego, OECD i organizacji branżowych opisujące zwyczaje płatnicze w Polsce i na świecie. Dzięki temu otrzymujemy nie tylko ciekawą opowieść, ale też solidnie udokumentowaną analizę z licznymi odwołaniami do konkretnych badań.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Redakcja podkreśla, że celem publikacji nie jest straszenie technologią ani nawoływanie do wyrzucenia kart płatniczych. Chodzi o coś innego: </w:t>
      </w:r>
      <w:r>
        <w:rPr>
          <w:rFonts w:ascii="calibri" w:hAnsi="calibri" w:eastAsia="calibri" w:cs="calibri"/>
          <w:sz w:val="24"/>
          <w:szCs w:val="24"/>
          <w:b/>
        </w:rPr>
        <w:t xml:space="preserve">o świadome korzystanie z narzędzi finansowych w taki sposób, by to one pracowały dla nas, a nie przeciwko nam</w:t>
      </w:r>
      <w:r>
        <w:rPr>
          <w:rFonts w:ascii="calibri" w:hAnsi="calibri" w:eastAsia="calibri" w:cs="calibri"/>
          <w:sz w:val="24"/>
          <w:szCs w:val="24"/>
        </w:rPr>
        <w:t xml:space="preserve">. W dobie szybkich, bezdotykowych płatności znajomość mechanizmów psychologicznych, które za nimi stoją, staje się elementarną częścią współczesnej edukacji finansowej.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artykuł mybank.pl jest więc propozycją zarówno dla osób, które po prostu chcą lepiej zrozumieć własne nawyki zakupowe, jak i dla tych, którzy szukają konkretnych metod na okiełznanie „uciekających” pieniędzy. To także wartościowy materiał dla dziennikarzy, edukatorów finansowych i doradców, którzy na co dzień tłumaczą innym, jak mądrze zarządzać domowym budżetem.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tekst artykułu „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Dlaczego wydajemy więcej, gdy płacimy kartą niż gotówką? Sztuczki banków i psychologii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jest dostępny na portalu </w:t>
      </w:r>
      <w:r>
        <w:rPr>
          <w:rFonts w:ascii="calibri" w:hAnsi="calibri" w:eastAsia="calibri" w:cs="calibri"/>
          <w:sz w:val="24"/>
          <w:szCs w:val="24"/>
          <w:b/>
        </w:rPr>
        <w:t xml:space="preserve">mybank.pl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ybank.pl/" TargetMode="External"/><Relationship Id="rId8" Type="http://schemas.openxmlformats.org/officeDocument/2006/relationships/hyperlink" Target="https://mybank.pl/news/35559-dlaczego-wydajemy-wiecej-gdy-placimy-karta-niz-gotowka-sztuczki-bankow-i-psychologi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2025-11-29T15:49:12+01:00</dcterms:created>
  <dcterms:modified xsi:type="dcterms:W3CDTF">2025-11-29T15:49:12+01:00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